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DB59F" w14:textId="77777777" w:rsidR="005F27B2" w:rsidRPr="005F27B2" w:rsidRDefault="007C22AA" w:rsidP="005F27B2">
      <w:pPr>
        <w:jc w:val="center"/>
        <w:rPr>
          <w:b/>
          <w:bCs/>
          <w:sz w:val="28"/>
          <w:szCs w:val="28"/>
          <w:lang w:val="fr-ML"/>
        </w:rPr>
      </w:pPr>
      <w:r>
        <w:rPr>
          <w:b/>
          <w:bCs/>
          <w:noProof/>
          <w:sz w:val="28"/>
          <w:szCs w:val="28"/>
        </w:rPr>
        <w:drawing>
          <wp:anchor distT="0" distB="0" distL="114300" distR="114300" simplePos="0" relativeHeight="251659264" behindDoc="0" locked="0" layoutInCell="1" allowOverlap="1" wp14:anchorId="097CDC6C" wp14:editId="23B20838">
            <wp:simplePos x="0" y="0"/>
            <wp:positionH relativeFrom="margin">
              <wp:align>left</wp:align>
            </wp:positionH>
            <wp:positionV relativeFrom="topMargin">
              <wp:align>bottom</wp:align>
            </wp:positionV>
            <wp:extent cx="1481328" cy="585216"/>
            <wp:effectExtent l="0" t="0" r="5080" b="0"/>
            <wp:wrapTopAndBottom/>
            <wp:docPr id="911159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1328" cy="5852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28"/>
          <w:szCs w:val="28"/>
        </w:rPr>
        <w:drawing>
          <wp:anchor distT="0" distB="0" distL="114300" distR="114300" simplePos="0" relativeHeight="251658240" behindDoc="0" locked="0" layoutInCell="1" allowOverlap="1" wp14:anchorId="3E99F0A5" wp14:editId="1B40E586">
            <wp:simplePos x="0" y="0"/>
            <wp:positionH relativeFrom="margin">
              <wp:align>right</wp:align>
            </wp:positionH>
            <wp:positionV relativeFrom="page">
              <wp:align>top</wp:align>
            </wp:positionV>
            <wp:extent cx="1490472" cy="1069848"/>
            <wp:effectExtent l="0" t="0" r="0" b="0"/>
            <wp:wrapTopAndBottom/>
            <wp:docPr id="18284272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472" cy="1069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27B2" w:rsidRPr="005F27B2">
        <w:rPr>
          <w:b/>
          <w:bCs/>
          <w:sz w:val="28"/>
          <w:szCs w:val="28"/>
          <w:lang w:val="fr-ML"/>
        </w:rPr>
        <w:t>Surveillance des données et assurance qualité</w:t>
      </w:r>
    </w:p>
    <w:p w14:paraId="35DD5CEB" w14:textId="77777777" w:rsidR="005F27B2" w:rsidRPr="005F27B2" w:rsidRDefault="005F27B2" w:rsidP="005F27B2">
      <w:pPr>
        <w:rPr>
          <w:lang w:val="fr-ML"/>
        </w:rPr>
      </w:pPr>
      <w:r w:rsidRPr="005F27B2">
        <w:rPr>
          <w:lang w:val="fr-ML"/>
        </w:rPr>
        <w:t>La surveillance des données et l'assurance qualité ont pour objectif de garantir l'exactitude, la fiabilité, l'exhaustivité et l'intégrité des données collectées. Des processus automatisés sont mis en place et maintenus sur notre portail/tableau de bord, permettant aux membres de l'équipe de télécharger et d'examiner les rapports. Ces rapports sont discutés lors de réunions régulières entre les différentes équipes.</w:t>
      </w:r>
    </w:p>
    <w:p w14:paraId="08427A24" w14:textId="77777777" w:rsidR="005F27B2" w:rsidRPr="005F27B2" w:rsidRDefault="005F27B2" w:rsidP="005F27B2">
      <w:pPr>
        <w:rPr>
          <w:b/>
          <w:bCs/>
          <w:lang w:val="fr-ML"/>
        </w:rPr>
      </w:pPr>
      <w:r w:rsidRPr="005F27B2">
        <w:rPr>
          <w:b/>
          <w:bCs/>
          <w:lang w:val="fr-ML"/>
        </w:rPr>
        <w:t>Exactitude des données :</w:t>
      </w:r>
    </w:p>
    <w:p w14:paraId="79547797" w14:textId="482FAAA3" w:rsidR="005F27B2" w:rsidRPr="005F27B2" w:rsidRDefault="005F27B2" w:rsidP="005F27B2">
      <w:pPr>
        <w:rPr>
          <w:lang w:val="fr-ML"/>
        </w:rPr>
      </w:pPr>
      <w:r w:rsidRPr="61DFF8F9">
        <w:rPr>
          <w:lang w:val="fr-ML"/>
        </w:rPr>
        <w:t>Afin de garantir l'exactitude des données, COMSA a mis en place des contrôles de validation (contraintes) au sein des variables et entre celles-ci lors du développement de</w:t>
      </w:r>
      <w:r w:rsidR="4CC772F5" w:rsidRPr="61DFF8F9">
        <w:rPr>
          <w:lang w:val="fr-ML"/>
        </w:rPr>
        <w:t xml:space="preserve"> </w:t>
      </w:r>
      <w:r w:rsidR="4CC772F5" w:rsidRPr="61DFF8F9">
        <w:rPr>
          <w:rFonts w:ascii="Segoe UI" w:eastAsia="Segoe UI" w:hAnsi="Segoe UI" w:cs="Segoe UI"/>
          <w:b/>
          <w:bCs/>
          <w:color w:val="242424"/>
          <w:sz w:val="21"/>
          <w:szCs w:val="21"/>
          <w:lang w:val="fr"/>
        </w:rPr>
        <w:t>le Kit de données ouvertes « Open Data Kit (ODK) »</w:t>
      </w:r>
      <w:r w:rsidR="4CC772F5" w:rsidRPr="61DFF8F9">
        <w:rPr>
          <w:lang w:val="fr-ML"/>
        </w:rPr>
        <w:t xml:space="preserve"> </w:t>
      </w:r>
      <w:r w:rsidRPr="61DFF8F9">
        <w:rPr>
          <w:lang w:val="fr-ML"/>
        </w:rPr>
        <w:t>, lorsque cela est applicable et possible, dans le but de réduire les incohérences et les divergences. Nous procédons également comme suit :</w:t>
      </w:r>
    </w:p>
    <w:p w14:paraId="387CC4C2" w14:textId="77777777" w:rsidR="005F27B2" w:rsidRPr="005F27B2" w:rsidRDefault="005F27B2" w:rsidP="005F27B2">
      <w:pPr>
        <w:rPr>
          <w:lang w:val="fr-ML"/>
        </w:rPr>
      </w:pPr>
      <w:r w:rsidRPr="005F27B2">
        <w:rPr>
          <w:lang w:val="fr-ML"/>
        </w:rPr>
        <w:t>1.    Les fréquences de base sont exécutées par grappes afin d'étudier les données manquantes et les accumulations de données.</w:t>
      </w:r>
    </w:p>
    <w:p w14:paraId="25950558" w14:textId="77777777" w:rsidR="005F27B2" w:rsidRPr="005F27B2" w:rsidRDefault="005F27B2" w:rsidP="005F27B2">
      <w:pPr>
        <w:rPr>
          <w:lang w:val="fr-ML"/>
        </w:rPr>
      </w:pPr>
      <w:r w:rsidRPr="005F27B2">
        <w:rPr>
          <w:lang w:val="fr-ML"/>
        </w:rPr>
        <w:t>2.    Les erreurs de données sont examinées en vérifiant les outils de saisie des données et les procédures sur le terrain.</w:t>
      </w:r>
    </w:p>
    <w:p w14:paraId="5A6578D7" w14:textId="40C10D6A" w:rsidR="0012795B" w:rsidRPr="005F27B2" w:rsidRDefault="005F27B2" w:rsidP="005F27B2">
      <w:pPr>
        <w:rPr>
          <w:lang w:val="fr-ML"/>
        </w:rPr>
      </w:pPr>
      <w:r w:rsidRPr="005F27B2">
        <w:rPr>
          <w:lang w:val="fr-ML"/>
        </w:rPr>
        <w:t>3.    Les conclusions sont présentées lors de réunions régulières.</w:t>
      </w:r>
    </w:p>
    <w:p w14:paraId="68175BF6" w14:textId="63FECB10" w:rsidR="005F27B2" w:rsidRPr="005F27B2" w:rsidRDefault="005F27B2" w:rsidP="005F27B2">
      <w:pPr>
        <w:spacing w:line="360" w:lineRule="auto"/>
        <w:rPr>
          <w:b/>
          <w:bCs/>
          <w:lang w:val="fr-ML"/>
        </w:rPr>
      </w:pPr>
      <w:r w:rsidRPr="005F27B2">
        <w:rPr>
          <w:b/>
          <w:bCs/>
          <w:lang w:val="fr-ML"/>
        </w:rPr>
        <w:t>Exhaustivité des données :</w:t>
      </w:r>
    </w:p>
    <w:p w14:paraId="632FEB4B" w14:textId="77777777" w:rsidR="005F27B2" w:rsidRPr="005F27B2" w:rsidRDefault="005F27B2" w:rsidP="005F27B2">
      <w:pPr>
        <w:spacing w:line="360" w:lineRule="auto"/>
        <w:rPr>
          <w:lang w:val="fr-ML"/>
        </w:rPr>
      </w:pPr>
      <w:r w:rsidRPr="005F27B2">
        <w:rPr>
          <w:lang w:val="fr-ML"/>
        </w:rPr>
        <w:t>Afin de garantir que toutes les données requises sont collectées et enregistrées, des rapports mensuels provinciaux sont générés, couvrant les rapports sur les grappes, qui incluent le pourcentage de grappes signalant 5 événements ou plus, entre 1 et 4 événements, et aucun événement.</w:t>
      </w:r>
    </w:p>
    <w:p w14:paraId="406290E9" w14:textId="77777777" w:rsidR="005F27B2" w:rsidRPr="005F27B2" w:rsidRDefault="005F27B2" w:rsidP="005F27B2">
      <w:pPr>
        <w:spacing w:line="360" w:lineRule="auto"/>
        <w:rPr>
          <w:lang w:val="fr-ML"/>
        </w:rPr>
      </w:pPr>
      <w:r w:rsidRPr="005F27B2">
        <w:rPr>
          <w:lang w:val="fr-ML"/>
        </w:rPr>
        <w:t>Nous effectuons ensuite une analyse approfondie afin d'identifier les problèmes liés aux grappes, tels que :</w:t>
      </w:r>
    </w:p>
    <w:p w14:paraId="205E0D5E" w14:textId="77777777" w:rsidR="005F27B2" w:rsidRPr="005F27B2" w:rsidRDefault="005F27B2" w:rsidP="005F27B2">
      <w:pPr>
        <w:spacing w:line="360" w:lineRule="auto"/>
        <w:rPr>
          <w:lang w:val="fr-ML"/>
        </w:rPr>
      </w:pPr>
      <w:r w:rsidRPr="005F27B2">
        <w:rPr>
          <w:lang w:val="fr-ML"/>
        </w:rPr>
        <w:t>•    Le nombre d'événements signalés par type d'événement.</w:t>
      </w:r>
    </w:p>
    <w:p w14:paraId="53339701" w14:textId="77777777" w:rsidR="005F27B2" w:rsidRPr="005F27B2" w:rsidRDefault="005F27B2" w:rsidP="005F27B2">
      <w:pPr>
        <w:spacing w:line="360" w:lineRule="auto"/>
        <w:rPr>
          <w:lang w:val="fr-ML"/>
        </w:rPr>
      </w:pPr>
      <w:r w:rsidRPr="005F27B2">
        <w:rPr>
          <w:lang w:val="fr-ML"/>
        </w:rPr>
        <w:t>•    La durée entre la survenue de l'événement, la collecte des données et leur soumission.</w:t>
      </w:r>
    </w:p>
    <w:p w14:paraId="7D34E29E" w14:textId="77777777" w:rsidR="005F27B2" w:rsidRPr="005F27B2" w:rsidRDefault="005F27B2" w:rsidP="005F27B2">
      <w:pPr>
        <w:spacing w:line="360" w:lineRule="auto"/>
        <w:rPr>
          <w:lang w:val="fr-ML"/>
        </w:rPr>
      </w:pPr>
      <w:r w:rsidRPr="005F27B2">
        <w:rPr>
          <w:lang w:val="fr-ML"/>
        </w:rPr>
        <w:t>•    La comparaison avec les activités de signalement dans la grappe au cours des trois derniers mois.</w:t>
      </w:r>
    </w:p>
    <w:p w14:paraId="70E6BEC2" w14:textId="77777777" w:rsidR="005F27B2" w:rsidRPr="005F27B2" w:rsidRDefault="005F27B2" w:rsidP="005F27B2">
      <w:pPr>
        <w:spacing w:line="360" w:lineRule="auto"/>
        <w:rPr>
          <w:lang w:val="fr-ML"/>
        </w:rPr>
      </w:pPr>
      <w:r w:rsidRPr="005F27B2">
        <w:rPr>
          <w:lang w:val="fr-ML"/>
        </w:rPr>
        <w:t xml:space="preserve">Les grappes qui présentent systématiquement un faible nombre de signalements et un nombre élevé d'événements sont ajoutées aux grappes qui font l'objet d'une nouvelle enquête périodique par les équipes centrales et provinciales. </w:t>
      </w:r>
    </w:p>
    <w:p w14:paraId="5F30FFF3" w14:textId="77777777" w:rsidR="005F27B2" w:rsidRPr="005F27B2" w:rsidRDefault="005F27B2" w:rsidP="005F27B2">
      <w:pPr>
        <w:spacing w:line="360" w:lineRule="auto"/>
        <w:rPr>
          <w:b/>
          <w:bCs/>
          <w:lang w:val="fr-ML"/>
        </w:rPr>
      </w:pPr>
      <w:r w:rsidRPr="005F27B2">
        <w:rPr>
          <w:b/>
          <w:bCs/>
          <w:lang w:val="fr-ML"/>
        </w:rPr>
        <w:lastRenderedPageBreak/>
        <w:t>Intégrité des données :</w:t>
      </w:r>
    </w:p>
    <w:p w14:paraId="75D807A2" w14:textId="77777777" w:rsidR="005F27B2" w:rsidRPr="005F27B2" w:rsidRDefault="005F27B2" w:rsidP="005F27B2">
      <w:pPr>
        <w:spacing w:line="360" w:lineRule="auto"/>
        <w:rPr>
          <w:lang w:val="fr-ML"/>
        </w:rPr>
      </w:pPr>
      <w:r w:rsidRPr="005F27B2">
        <w:rPr>
          <w:lang w:val="fr-ML"/>
        </w:rPr>
        <w:t>Afin de protéger les données contre tout accès non autorisé, toute modification ou toute suppression :</w:t>
      </w:r>
    </w:p>
    <w:p w14:paraId="7BA9C371" w14:textId="77777777" w:rsidR="005F27B2" w:rsidRPr="005F27B2" w:rsidRDefault="005F27B2" w:rsidP="005F27B2">
      <w:pPr>
        <w:spacing w:line="360" w:lineRule="auto"/>
        <w:rPr>
          <w:lang w:val="fr-ML"/>
        </w:rPr>
      </w:pPr>
      <w:r w:rsidRPr="005F27B2">
        <w:rPr>
          <w:lang w:val="fr-ML"/>
        </w:rPr>
        <w:t>1.    Les données sont anonymisées et protégées par un mot de passe avec des contrôles d'accès.</w:t>
      </w:r>
    </w:p>
    <w:p w14:paraId="3ABBADFA" w14:textId="77777777" w:rsidR="005F27B2" w:rsidRPr="005F27B2" w:rsidRDefault="005F27B2" w:rsidP="005F27B2">
      <w:pPr>
        <w:spacing w:line="360" w:lineRule="auto"/>
        <w:rPr>
          <w:lang w:val="fr-ML"/>
        </w:rPr>
      </w:pPr>
      <w:r w:rsidRPr="005F27B2">
        <w:rPr>
          <w:lang w:val="fr-ML"/>
        </w:rPr>
        <w:t>2.    Les données sont partagées via notre site web public.</w:t>
      </w:r>
    </w:p>
    <w:p w14:paraId="4D0E2743" w14:textId="77777777" w:rsidR="005F27B2" w:rsidRPr="005F27B2" w:rsidRDefault="005F27B2" w:rsidP="005F27B2">
      <w:pPr>
        <w:spacing w:line="360" w:lineRule="auto"/>
        <w:rPr>
          <w:lang w:val="fr-ML"/>
        </w:rPr>
      </w:pPr>
      <w:r w:rsidRPr="005F27B2">
        <w:rPr>
          <w:lang w:val="fr-ML"/>
        </w:rPr>
        <w:t>3.    Une piste d'audit de tous les processus de données est conservée.</w:t>
      </w:r>
    </w:p>
    <w:p w14:paraId="7DDEF8F9" w14:textId="33050E35" w:rsidR="005F27B2" w:rsidRPr="005F27B2" w:rsidRDefault="005F27B2" w:rsidP="005F27B2">
      <w:pPr>
        <w:spacing w:line="360" w:lineRule="auto"/>
        <w:rPr>
          <w:lang w:val="fr-ML"/>
        </w:rPr>
      </w:pPr>
      <w:r w:rsidRPr="005F27B2">
        <w:rPr>
          <w:lang w:val="fr-ML"/>
        </w:rPr>
        <w:t>4.    Les raisons de toute correction apportée aux données sont documentées et réversibles.</w:t>
      </w:r>
    </w:p>
    <w:sectPr w:rsidR="005F27B2" w:rsidRPr="005F27B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0821F" w14:textId="77777777" w:rsidR="00B9255F" w:rsidRDefault="00B9255F" w:rsidP="00A97A05">
      <w:pPr>
        <w:spacing w:after="0" w:line="240" w:lineRule="auto"/>
      </w:pPr>
      <w:r>
        <w:separator/>
      </w:r>
    </w:p>
  </w:endnote>
  <w:endnote w:type="continuationSeparator" w:id="0">
    <w:p w14:paraId="18E0898D" w14:textId="77777777" w:rsidR="00B9255F" w:rsidRDefault="00B9255F" w:rsidP="00A9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630566"/>
      <w:docPartObj>
        <w:docPartGallery w:val="Page Numbers (Bottom of Page)"/>
        <w:docPartUnique/>
      </w:docPartObj>
    </w:sdtPr>
    <w:sdtEndPr>
      <w:rPr>
        <w:noProof/>
        <w:color w:val="FF0000"/>
        <w:sz w:val="20"/>
        <w:szCs w:val="20"/>
      </w:rPr>
    </w:sdtEndPr>
    <w:sdtContent>
      <w:p w14:paraId="3A3AB107" w14:textId="77777777" w:rsidR="008A223E" w:rsidRDefault="004432A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2307389D" w14:textId="41734798" w:rsidR="004432A9" w:rsidRPr="008A223E" w:rsidRDefault="008A223E" w:rsidP="008A223E">
        <w:pPr>
          <w:pStyle w:val="Header"/>
          <w:jc w:val="right"/>
          <w:rPr>
            <w:i/>
            <w:iCs/>
            <w:color w:val="FF0000"/>
            <w:sz w:val="20"/>
            <w:szCs w:val="20"/>
          </w:rPr>
        </w:pPr>
        <w:r w:rsidRPr="008A223E">
          <w:rPr>
            <w:i/>
            <w:iCs/>
            <w:color w:val="FF0000"/>
            <w:sz w:val="20"/>
            <w:szCs w:val="20"/>
          </w:rPr>
          <w:t>Version 1 – 15 May 2025</w:t>
        </w:r>
        <w:r w:rsidRPr="008A223E">
          <w:rPr>
            <w:i/>
            <w:iCs/>
            <w:color w:val="FF0000"/>
            <w:sz w:val="20"/>
            <w:szCs w:val="20"/>
          </w:rPr>
          <w:tab/>
        </w:r>
        <w:r w:rsidRPr="008A223E">
          <w:rPr>
            <w:i/>
            <w:iCs/>
            <w:color w:val="FF0000"/>
            <w:sz w:val="20"/>
            <w:szCs w:val="20"/>
          </w:rPr>
          <w:tab/>
          <w:t>s12_3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22AF" w14:textId="77777777" w:rsidR="00B9255F" w:rsidRDefault="00B9255F" w:rsidP="00A97A05">
      <w:pPr>
        <w:spacing w:after="0" w:line="240" w:lineRule="auto"/>
      </w:pPr>
      <w:r>
        <w:separator/>
      </w:r>
    </w:p>
  </w:footnote>
  <w:footnote w:type="continuationSeparator" w:id="0">
    <w:p w14:paraId="5B622AFB" w14:textId="77777777" w:rsidR="00B9255F" w:rsidRDefault="00B9255F" w:rsidP="00A97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D24"/>
    <w:multiLevelType w:val="hybridMultilevel"/>
    <w:tmpl w:val="151C2A1C"/>
    <w:lvl w:ilvl="0" w:tplc="EF566A08">
      <w:start w:val="1"/>
      <w:numFmt w:val="decimal"/>
      <w:lvlText w:val="%1."/>
      <w:lvlJc w:val="left"/>
      <w:pPr>
        <w:ind w:left="1020" w:hanging="360"/>
      </w:pPr>
    </w:lvl>
    <w:lvl w:ilvl="1" w:tplc="2854834A">
      <w:start w:val="1"/>
      <w:numFmt w:val="decimal"/>
      <w:lvlText w:val="%2."/>
      <w:lvlJc w:val="left"/>
      <w:pPr>
        <w:ind w:left="1020" w:hanging="360"/>
      </w:pPr>
    </w:lvl>
    <w:lvl w:ilvl="2" w:tplc="1BA85002">
      <w:start w:val="1"/>
      <w:numFmt w:val="decimal"/>
      <w:lvlText w:val="%3."/>
      <w:lvlJc w:val="left"/>
      <w:pPr>
        <w:ind w:left="1020" w:hanging="360"/>
      </w:pPr>
    </w:lvl>
    <w:lvl w:ilvl="3" w:tplc="CC380272">
      <w:start w:val="1"/>
      <w:numFmt w:val="decimal"/>
      <w:lvlText w:val="%4."/>
      <w:lvlJc w:val="left"/>
      <w:pPr>
        <w:ind w:left="1020" w:hanging="360"/>
      </w:pPr>
    </w:lvl>
    <w:lvl w:ilvl="4" w:tplc="3E68765E">
      <w:start w:val="1"/>
      <w:numFmt w:val="decimal"/>
      <w:lvlText w:val="%5."/>
      <w:lvlJc w:val="left"/>
      <w:pPr>
        <w:ind w:left="1020" w:hanging="360"/>
      </w:pPr>
    </w:lvl>
    <w:lvl w:ilvl="5" w:tplc="6B02BC2E">
      <w:start w:val="1"/>
      <w:numFmt w:val="decimal"/>
      <w:lvlText w:val="%6."/>
      <w:lvlJc w:val="left"/>
      <w:pPr>
        <w:ind w:left="1020" w:hanging="360"/>
      </w:pPr>
    </w:lvl>
    <w:lvl w:ilvl="6" w:tplc="E2EAC59E">
      <w:start w:val="1"/>
      <w:numFmt w:val="decimal"/>
      <w:lvlText w:val="%7."/>
      <w:lvlJc w:val="left"/>
      <w:pPr>
        <w:ind w:left="1020" w:hanging="360"/>
      </w:pPr>
    </w:lvl>
    <w:lvl w:ilvl="7" w:tplc="F4527E9E">
      <w:start w:val="1"/>
      <w:numFmt w:val="decimal"/>
      <w:lvlText w:val="%8."/>
      <w:lvlJc w:val="left"/>
      <w:pPr>
        <w:ind w:left="1020" w:hanging="360"/>
      </w:pPr>
    </w:lvl>
    <w:lvl w:ilvl="8" w:tplc="FB00F87E">
      <w:start w:val="1"/>
      <w:numFmt w:val="decimal"/>
      <w:lvlText w:val="%9."/>
      <w:lvlJc w:val="left"/>
      <w:pPr>
        <w:ind w:left="1020" w:hanging="360"/>
      </w:pPr>
    </w:lvl>
  </w:abstractNum>
  <w:abstractNum w:abstractNumId="1" w15:restartNumberingAfterBreak="0">
    <w:nsid w:val="0AAB7E21"/>
    <w:multiLevelType w:val="hybridMultilevel"/>
    <w:tmpl w:val="C9185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C6762"/>
    <w:multiLevelType w:val="hybridMultilevel"/>
    <w:tmpl w:val="3346915E"/>
    <w:lvl w:ilvl="0" w:tplc="1A300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613C9D"/>
    <w:multiLevelType w:val="hybridMultilevel"/>
    <w:tmpl w:val="F188A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DC7969"/>
    <w:multiLevelType w:val="hybridMultilevel"/>
    <w:tmpl w:val="B1B4B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315B9E"/>
    <w:multiLevelType w:val="hybridMultilevel"/>
    <w:tmpl w:val="0534D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7B0020"/>
    <w:multiLevelType w:val="hybridMultilevel"/>
    <w:tmpl w:val="15C2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E75CE9"/>
    <w:multiLevelType w:val="hybridMultilevel"/>
    <w:tmpl w:val="E16C6AAE"/>
    <w:lvl w:ilvl="0" w:tplc="89946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7E4D63"/>
    <w:multiLevelType w:val="hybridMultilevel"/>
    <w:tmpl w:val="82EC0738"/>
    <w:lvl w:ilvl="0" w:tplc="FB163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6D52A8"/>
    <w:multiLevelType w:val="hybridMultilevel"/>
    <w:tmpl w:val="8EAE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130E27"/>
    <w:multiLevelType w:val="hybridMultilevel"/>
    <w:tmpl w:val="4DF8A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907343">
    <w:abstractNumId w:val="4"/>
  </w:num>
  <w:num w:numId="2" w16cid:durableId="999696729">
    <w:abstractNumId w:val="8"/>
  </w:num>
  <w:num w:numId="3" w16cid:durableId="1969628766">
    <w:abstractNumId w:val="2"/>
  </w:num>
  <w:num w:numId="4" w16cid:durableId="434403721">
    <w:abstractNumId w:val="7"/>
  </w:num>
  <w:num w:numId="5" w16cid:durableId="748113607">
    <w:abstractNumId w:val="1"/>
  </w:num>
  <w:num w:numId="6" w16cid:durableId="331033517">
    <w:abstractNumId w:val="5"/>
  </w:num>
  <w:num w:numId="7" w16cid:durableId="180366061">
    <w:abstractNumId w:val="3"/>
  </w:num>
  <w:num w:numId="8" w16cid:durableId="653026402">
    <w:abstractNumId w:val="6"/>
  </w:num>
  <w:num w:numId="9" w16cid:durableId="1759212821">
    <w:abstractNumId w:val="9"/>
  </w:num>
  <w:num w:numId="10" w16cid:durableId="676346486">
    <w:abstractNumId w:val="10"/>
  </w:num>
  <w:num w:numId="11" w16cid:durableId="1504592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95B"/>
    <w:rsid w:val="00017B9E"/>
    <w:rsid w:val="0012795B"/>
    <w:rsid w:val="001B1200"/>
    <w:rsid w:val="00240DFA"/>
    <w:rsid w:val="00277C81"/>
    <w:rsid w:val="00283C75"/>
    <w:rsid w:val="003104CB"/>
    <w:rsid w:val="00383A05"/>
    <w:rsid w:val="003B661A"/>
    <w:rsid w:val="0040601C"/>
    <w:rsid w:val="004432A9"/>
    <w:rsid w:val="0049228D"/>
    <w:rsid w:val="004A2F03"/>
    <w:rsid w:val="004C50EE"/>
    <w:rsid w:val="005B52F9"/>
    <w:rsid w:val="005D67CE"/>
    <w:rsid w:val="005F27B2"/>
    <w:rsid w:val="00642BDB"/>
    <w:rsid w:val="00705859"/>
    <w:rsid w:val="0074451B"/>
    <w:rsid w:val="007508C1"/>
    <w:rsid w:val="00766889"/>
    <w:rsid w:val="007C22AA"/>
    <w:rsid w:val="007E1B94"/>
    <w:rsid w:val="008A223E"/>
    <w:rsid w:val="008A386D"/>
    <w:rsid w:val="00953AE6"/>
    <w:rsid w:val="009C6124"/>
    <w:rsid w:val="00A27285"/>
    <w:rsid w:val="00A53568"/>
    <w:rsid w:val="00A77B43"/>
    <w:rsid w:val="00A97A05"/>
    <w:rsid w:val="00B32B1F"/>
    <w:rsid w:val="00B9255F"/>
    <w:rsid w:val="00BF369E"/>
    <w:rsid w:val="00C35AF1"/>
    <w:rsid w:val="00C74FE7"/>
    <w:rsid w:val="00CD0DE9"/>
    <w:rsid w:val="00D846F1"/>
    <w:rsid w:val="00DD74C4"/>
    <w:rsid w:val="00E7609E"/>
    <w:rsid w:val="00E777F0"/>
    <w:rsid w:val="00F4190F"/>
    <w:rsid w:val="0F62C1A2"/>
    <w:rsid w:val="268BDA9B"/>
    <w:rsid w:val="4CC772F5"/>
    <w:rsid w:val="61DFF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472C"/>
  <w15:chartTrackingRefBased/>
  <w15:docId w15:val="{80A509EA-F88E-45C3-A15B-6E016492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DFA"/>
  </w:style>
  <w:style w:type="paragraph" w:styleId="Heading1">
    <w:name w:val="heading 1"/>
    <w:basedOn w:val="Normal"/>
    <w:next w:val="Normal"/>
    <w:link w:val="Heading1Char"/>
    <w:uiPriority w:val="9"/>
    <w:qFormat/>
    <w:rsid w:val="00127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9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9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9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9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9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9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9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9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95B"/>
    <w:rPr>
      <w:rFonts w:eastAsiaTheme="majorEastAsia" w:cstheme="majorBidi"/>
      <w:color w:val="272727" w:themeColor="text1" w:themeTint="D8"/>
    </w:rPr>
  </w:style>
  <w:style w:type="paragraph" w:styleId="Title">
    <w:name w:val="Title"/>
    <w:basedOn w:val="Normal"/>
    <w:next w:val="Normal"/>
    <w:link w:val="TitleChar"/>
    <w:uiPriority w:val="10"/>
    <w:qFormat/>
    <w:rsid w:val="00127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95B"/>
    <w:pPr>
      <w:spacing w:before="160"/>
      <w:jc w:val="center"/>
    </w:pPr>
    <w:rPr>
      <w:i/>
      <w:iCs/>
      <w:color w:val="404040" w:themeColor="text1" w:themeTint="BF"/>
    </w:rPr>
  </w:style>
  <w:style w:type="character" w:customStyle="1" w:styleId="QuoteChar">
    <w:name w:val="Quote Char"/>
    <w:basedOn w:val="DefaultParagraphFont"/>
    <w:link w:val="Quote"/>
    <w:uiPriority w:val="29"/>
    <w:rsid w:val="0012795B"/>
    <w:rPr>
      <w:i/>
      <w:iCs/>
      <w:color w:val="404040" w:themeColor="text1" w:themeTint="BF"/>
    </w:rPr>
  </w:style>
  <w:style w:type="paragraph" w:styleId="ListParagraph">
    <w:name w:val="List Paragraph"/>
    <w:basedOn w:val="Normal"/>
    <w:uiPriority w:val="34"/>
    <w:qFormat/>
    <w:rsid w:val="0012795B"/>
    <w:pPr>
      <w:ind w:left="720"/>
      <w:contextualSpacing/>
    </w:pPr>
  </w:style>
  <w:style w:type="character" w:styleId="IntenseEmphasis">
    <w:name w:val="Intense Emphasis"/>
    <w:basedOn w:val="DefaultParagraphFont"/>
    <w:uiPriority w:val="21"/>
    <w:qFormat/>
    <w:rsid w:val="0012795B"/>
    <w:rPr>
      <w:i/>
      <w:iCs/>
      <w:color w:val="0F4761" w:themeColor="accent1" w:themeShade="BF"/>
    </w:rPr>
  </w:style>
  <w:style w:type="paragraph" w:styleId="IntenseQuote">
    <w:name w:val="Intense Quote"/>
    <w:basedOn w:val="Normal"/>
    <w:next w:val="Normal"/>
    <w:link w:val="IntenseQuoteChar"/>
    <w:uiPriority w:val="30"/>
    <w:qFormat/>
    <w:rsid w:val="00127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95B"/>
    <w:rPr>
      <w:i/>
      <w:iCs/>
      <w:color w:val="0F4761" w:themeColor="accent1" w:themeShade="BF"/>
    </w:rPr>
  </w:style>
  <w:style w:type="character" w:styleId="IntenseReference">
    <w:name w:val="Intense Reference"/>
    <w:basedOn w:val="DefaultParagraphFont"/>
    <w:uiPriority w:val="32"/>
    <w:qFormat/>
    <w:rsid w:val="0012795B"/>
    <w:rPr>
      <w:b/>
      <w:bCs/>
      <w:smallCaps/>
      <w:color w:val="0F4761" w:themeColor="accent1" w:themeShade="BF"/>
      <w:spacing w:val="5"/>
    </w:rPr>
  </w:style>
  <w:style w:type="paragraph" w:styleId="Header">
    <w:name w:val="header"/>
    <w:basedOn w:val="Normal"/>
    <w:link w:val="HeaderChar"/>
    <w:uiPriority w:val="99"/>
    <w:unhideWhenUsed/>
    <w:rsid w:val="00A9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A05"/>
  </w:style>
  <w:style w:type="paragraph" w:styleId="Footer">
    <w:name w:val="footer"/>
    <w:basedOn w:val="Normal"/>
    <w:link w:val="FooterChar"/>
    <w:uiPriority w:val="99"/>
    <w:unhideWhenUsed/>
    <w:rsid w:val="00A9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A05"/>
  </w:style>
  <w:style w:type="paragraph" w:styleId="Revision">
    <w:name w:val="Revision"/>
    <w:hidden/>
    <w:uiPriority w:val="99"/>
    <w:semiHidden/>
    <w:rsid w:val="0040601C"/>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609E"/>
    <w:rPr>
      <w:b/>
      <w:bCs/>
    </w:rPr>
  </w:style>
  <w:style w:type="character" w:customStyle="1" w:styleId="CommentSubjectChar">
    <w:name w:val="Comment Subject Char"/>
    <w:basedOn w:val="CommentTextChar"/>
    <w:link w:val="CommentSubject"/>
    <w:uiPriority w:val="99"/>
    <w:semiHidden/>
    <w:rsid w:val="00E760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2140</Characters>
  <Application>Microsoft Office Word</Application>
  <DocSecurity>0</DocSecurity>
  <Lines>37</Lines>
  <Paragraphs>23</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Aveika Akum</dc:creator>
  <cp:keywords/>
  <dc:description/>
  <cp:lastModifiedBy>Yacine Bai</cp:lastModifiedBy>
  <cp:revision>2</cp:revision>
  <dcterms:created xsi:type="dcterms:W3CDTF">2026-04-07T15:38:00Z</dcterms:created>
  <dcterms:modified xsi:type="dcterms:W3CDTF">2026-04-07T15:38:00Z</dcterms:modified>
</cp:coreProperties>
</file>